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4388" w:rsidRDefault="00C84388" w:rsidP="00C84388">
      <w:pPr>
        <w:ind w:firstLine="720"/>
        <w:jc w:val="center"/>
        <w:rPr>
          <w:b/>
        </w:rPr>
      </w:pPr>
      <w:r w:rsidRPr="005A11A9">
        <w:rPr>
          <w:b/>
        </w:rPr>
        <w:t xml:space="preserve">Public Hearing on Mayor </w:t>
      </w:r>
      <w:r>
        <w:rPr>
          <w:b/>
        </w:rPr>
        <w:t>Gray</w:t>
      </w:r>
      <w:r w:rsidRPr="005A11A9">
        <w:rPr>
          <w:b/>
        </w:rPr>
        <w:t>’s Fiscal Year 201</w:t>
      </w:r>
      <w:r w:rsidR="00186CAF">
        <w:rPr>
          <w:b/>
        </w:rPr>
        <w:t>4</w:t>
      </w:r>
      <w:r w:rsidRPr="005A11A9">
        <w:rPr>
          <w:b/>
        </w:rPr>
        <w:t xml:space="preserve"> Budget Request </w:t>
      </w:r>
    </w:p>
    <w:p w:rsidR="00C84388" w:rsidRPr="005A11A9" w:rsidRDefault="00C84388" w:rsidP="00C84388">
      <w:pPr>
        <w:ind w:firstLine="720"/>
        <w:jc w:val="center"/>
        <w:rPr>
          <w:b/>
        </w:rPr>
      </w:pPr>
    </w:p>
    <w:p w:rsidR="00C84388" w:rsidRDefault="00C84388" w:rsidP="00C84388">
      <w:pPr>
        <w:ind w:firstLine="720"/>
        <w:jc w:val="center"/>
        <w:rPr>
          <w:b/>
        </w:rPr>
      </w:pPr>
      <w:r w:rsidRPr="005A11A9">
        <w:rPr>
          <w:b/>
        </w:rPr>
        <w:t>B</w:t>
      </w:r>
      <w:r>
        <w:rPr>
          <w:b/>
        </w:rPr>
        <w:t>e</w:t>
      </w:r>
      <w:r w:rsidRPr="005A11A9">
        <w:rPr>
          <w:b/>
        </w:rPr>
        <w:t>fore the</w:t>
      </w:r>
      <w:r>
        <w:rPr>
          <w:b/>
        </w:rPr>
        <w:t xml:space="preserve"> </w:t>
      </w:r>
      <w:r w:rsidRPr="005A11A9">
        <w:rPr>
          <w:b/>
        </w:rPr>
        <w:t xml:space="preserve">Council of the District of Columbia </w:t>
      </w:r>
    </w:p>
    <w:p w:rsidR="00C84388" w:rsidRDefault="00C84388" w:rsidP="00C84388">
      <w:pPr>
        <w:ind w:right="-180" w:firstLine="720"/>
        <w:jc w:val="center"/>
        <w:rPr>
          <w:b/>
        </w:rPr>
      </w:pPr>
      <w:r w:rsidRPr="005A11A9">
        <w:rPr>
          <w:b/>
        </w:rPr>
        <w:t>Com</w:t>
      </w:r>
      <w:r>
        <w:rPr>
          <w:b/>
        </w:rPr>
        <w:t xml:space="preserve">mittee on Public Safety and the </w:t>
      </w:r>
      <w:r w:rsidRPr="005A11A9">
        <w:rPr>
          <w:b/>
        </w:rPr>
        <w:t>Judiciary</w:t>
      </w:r>
    </w:p>
    <w:p w:rsidR="00C84388" w:rsidRPr="005A11A9" w:rsidRDefault="00C84388" w:rsidP="00C84388">
      <w:pPr>
        <w:ind w:firstLine="720"/>
        <w:jc w:val="center"/>
        <w:rPr>
          <w:b/>
        </w:rPr>
      </w:pPr>
    </w:p>
    <w:p w:rsidR="00C84388" w:rsidRPr="009E78EA" w:rsidRDefault="00C84388" w:rsidP="00C84388">
      <w:pPr>
        <w:ind w:firstLine="720"/>
        <w:jc w:val="center"/>
        <w:rPr>
          <w:b/>
        </w:rPr>
      </w:pPr>
      <w:r w:rsidRPr="009E78EA">
        <w:rPr>
          <w:b/>
        </w:rPr>
        <w:t xml:space="preserve">Testimony of </w:t>
      </w:r>
      <w:r w:rsidR="004E5036">
        <w:rPr>
          <w:b/>
        </w:rPr>
        <w:t>Katherine L. Garrett</w:t>
      </w:r>
    </w:p>
    <w:p w:rsidR="00C84388" w:rsidRPr="009E78EA" w:rsidRDefault="00C84388" w:rsidP="00C84388">
      <w:pPr>
        <w:ind w:firstLine="720"/>
        <w:jc w:val="center"/>
        <w:rPr>
          <w:b/>
        </w:rPr>
      </w:pPr>
    </w:p>
    <w:p w:rsidR="00C84388" w:rsidRPr="009E78EA" w:rsidRDefault="00C84388" w:rsidP="00C84388">
      <w:pPr>
        <w:ind w:firstLine="720"/>
        <w:jc w:val="center"/>
        <w:rPr>
          <w:b/>
        </w:rPr>
      </w:pPr>
      <w:r w:rsidRPr="009E78EA">
        <w:rPr>
          <w:b/>
        </w:rPr>
        <w:t xml:space="preserve">District of Columbia </w:t>
      </w:r>
      <w:r>
        <w:rPr>
          <w:b/>
        </w:rPr>
        <w:t>Bar Foundation</w:t>
      </w:r>
    </w:p>
    <w:p w:rsidR="00C84388" w:rsidRDefault="00C84388" w:rsidP="00C84388">
      <w:pPr>
        <w:ind w:firstLine="720"/>
        <w:jc w:val="center"/>
      </w:pPr>
      <w:bookmarkStart w:id="0" w:name="_GoBack"/>
      <w:bookmarkEnd w:id="0"/>
    </w:p>
    <w:p w:rsidR="00C84388" w:rsidRDefault="00186CAF" w:rsidP="00C84388">
      <w:pPr>
        <w:ind w:firstLine="720"/>
        <w:jc w:val="center"/>
      </w:pPr>
      <w:r>
        <w:t>April 25, 2013</w:t>
      </w:r>
    </w:p>
    <w:p w:rsidR="00C84388" w:rsidRDefault="00C84388" w:rsidP="00C84388">
      <w:pPr>
        <w:spacing w:line="480" w:lineRule="auto"/>
      </w:pPr>
    </w:p>
    <w:p w:rsidR="00C84388" w:rsidRDefault="00C84388" w:rsidP="0021016A">
      <w:pPr>
        <w:spacing w:line="480" w:lineRule="auto"/>
        <w:ind w:firstLine="720"/>
      </w:pPr>
      <w:r w:rsidRPr="00560D33">
        <w:t xml:space="preserve">Good </w:t>
      </w:r>
      <w:r w:rsidR="00F302E8">
        <w:t>afterno</w:t>
      </w:r>
      <w:r w:rsidR="00AC4CE0">
        <w:t>o</w:t>
      </w:r>
      <w:r w:rsidR="00F302E8">
        <w:t>n</w:t>
      </w:r>
      <w:r w:rsidR="00186CAF">
        <w:t xml:space="preserve"> Chairman Wells</w:t>
      </w:r>
      <w:r w:rsidRPr="00560D33">
        <w:t xml:space="preserve"> and members of the Commit</w:t>
      </w:r>
      <w:r>
        <w:t>t</w:t>
      </w:r>
      <w:r w:rsidRPr="00560D33">
        <w:t xml:space="preserve">ee.  My name is </w:t>
      </w:r>
      <w:r>
        <w:t xml:space="preserve">Katia Garrett, and I am the Executive Director of the </w:t>
      </w:r>
      <w:r w:rsidRPr="00560D33">
        <w:t>D</w:t>
      </w:r>
      <w:r>
        <w:t>.</w:t>
      </w:r>
      <w:r w:rsidRPr="00560D33">
        <w:t>C</w:t>
      </w:r>
      <w:r>
        <w:t>.</w:t>
      </w:r>
      <w:r w:rsidRPr="00560D33">
        <w:t xml:space="preserve"> Bar Foundation</w:t>
      </w:r>
      <w:r>
        <w:t xml:space="preserve">.  </w:t>
      </w:r>
      <w:r w:rsidRPr="00560D33">
        <w:t xml:space="preserve">  </w:t>
      </w:r>
      <w:r>
        <w:t>T</w:t>
      </w:r>
      <w:r w:rsidRPr="002C1600">
        <w:t>he Bar Foundation is the largest private funder of civil legal services for the District</w:t>
      </w:r>
      <w:r>
        <w:t xml:space="preserve">, and administers the District’s Access to Justice </w:t>
      </w:r>
      <w:r w:rsidR="00186CAF">
        <w:t xml:space="preserve">Initiative, </w:t>
      </w:r>
      <w:r>
        <w:t xml:space="preserve">awarding grants competitively to non-profit legal services organizations, and loans to help qualified DC-resident poverty lawyers repay their educational debt. </w:t>
      </w:r>
      <w:r w:rsidR="0021016A">
        <w:t xml:space="preserve"> I am honored to </w:t>
      </w:r>
      <w:r w:rsidR="006F0775">
        <w:t xml:space="preserve">testify today along with </w:t>
      </w:r>
      <w:r w:rsidR="0021016A">
        <w:t xml:space="preserve"> leaders of the Bar, the </w:t>
      </w:r>
      <w:r w:rsidR="006F0775">
        <w:t xml:space="preserve">Access to Justice </w:t>
      </w:r>
      <w:r w:rsidR="0021016A">
        <w:t xml:space="preserve">Commission, and the Chief Judges of our courts.  </w:t>
      </w:r>
      <w:r w:rsidR="00D71F80">
        <w:t>The panels truly reflect</w:t>
      </w:r>
      <w:r w:rsidR="006F0775">
        <w:t xml:space="preserve"> </w:t>
      </w:r>
      <w:r w:rsidR="0021016A">
        <w:t>the</w:t>
      </w:r>
      <w:r w:rsidR="00A177BD">
        <w:t xml:space="preserve"> access to justice</w:t>
      </w:r>
      <w:r w:rsidR="0021016A">
        <w:t xml:space="preserve"> network in our city:  individuals who have the courage to seek assistance</w:t>
      </w:r>
      <w:r w:rsidR="006F0775">
        <w:t xml:space="preserve"> and lift their voices for justice</w:t>
      </w:r>
      <w:r w:rsidR="0021016A">
        <w:t>; lawyers who devote their careers to justice; volunteers and law firms that give generously of time and resources to support the most vulnerable; leaders who work to identify and address inequities in our community; and officials who are committed to a justice system that truly works for all.  The Bar Foundation funds this netw</w:t>
      </w:r>
      <w:r w:rsidR="00A177BD">
        <w:t xml:space="preserve">ork, and the Council’s Access to Justice </w:t>
      </w:r>
      <w:r w:rsidR="00186CAF">
        <w:t xml:space="preserve">Initiative </w:t>
      </w:r>
      <w:r w:rsidR="0021016A">
        <w:t>is a critical piece of this effort.</w:t>
      </w:r>
    </w:p>
    <w:p w:rsidR="006C4985" w:rsidRDefault="00885E99" w:rsidP="00F21497">
      <w:pPr>
        <w:pStyle w:val="PlainText"/>
        <w:spacing w:line="480" w:lineRule="auto"/>
        <w:ind w:firstLine="720"/>
        <w:rPr>
          <w:rFonts w:ascii="Times New Roman" w:hAnsi="Times New Roman" w:cs="Times New Roman"/>
          <w:sz w:val="24"/>
          <w:szCs w:val="24"/>
        </w:rPr>
      </w:pPr>
      <w:r w:rsidRPr="001A0D60">
        <w:rPr>
          <w:rFonts w:ascii="Times New Roman" w:hAnsi="Times New Roman" w:cs="Times New Roman"/>
          <w:sz w:val="24"/>
          <w:szCs w:val="24"/>
        </w:rPr>
        <w:t>Since 1977, the DC Bar Foundation has</w:t>
      </w:r>
      <w:r w:rsidR="00A177BD" w:rsidRPr="001A0D60">
        <w:rPr>
          <w:rFonts w:ascii="Times New Roman" w:hAnsi="Times New Roman" w:cs="Times New Roman"/>
          <w:sz w:val="24"/>
          <w:szCs w:val="24"/>
        </w:rPr>
        <w:t xml:space="preserve"> </w:t>
      </w:r>
      <w:r w:rsidR="00C44D57" w:rsidRPr="001A0D60">
        <w:rPr>
          <w:rFonts w:ascii="Times New Roman" w:hAnsi="Times New Roman" w:cs="Times New Roman"/>
          <w:sz w:val="24"/>
          <w:szCs w:val="24"/>
        </w:rPr>
        <w:t xml:space="preserve">been the largest private funder of non-profit civil legal services in the District.  DCBF effectively and professionally stewards both private and public funds, including the roughly $3 million annual Access to Justice grant from the District, to award grants that support and strengthen the provision of legal services to the city's most </w:t>
      </w:r>
      <w:r w:rsidR="00C44D57" w:rsidRPr="001A0D60">
        <w:rPr>
          <w:rFonts w:ascii="Times New Roman" w:hAnsi="Times New Roman" w:cs="Times New Roman"/>
          <w:sz w:val="24"/>
          <w:szCs w:val="24"/>
        </w:rPr>
        <w:lastRenderedPageBreak/>
        <w:t>vulnerable residents.  DCBF runs two competitive grant programs for legal services organizations, and has a 35+ year track record of integrity, transparency, and intelligence in grantmaking.  DCBF staff are deeply familiar with the network of legal services in the city, so grants are made to secure the strongest and most sustainable impact.  DCBF maintains a robust program of site visits, meetings, and evaluation, of its grantees, and amplifies its grants with training and technical assistance, further strengthening capacity of the legal services provider network.</w:t>
      </w:r>
      <w:r w:rsidR="006F0775">
        <w:rPr>
          <w:rFonts w:ascii="Times New Roman" w:hAnsi="Times New Roman" w:cs="Times New Roman"/>
          <w:sz w:val="24"/>
          <w:szCs w:val="24"/>
        </w:rPr>
        <w:t xml:space="preserve">  We are pleased to work with the Deputy Mayor for Public Safety and Justice, and his Justice Grants Administration and Office of Victim Services in administering the Access to Justice Initiative</w:t>
      </w:r>
      <w:r w:rsidR="006C4985">
        <w:rPr>
          <w:rFonts w:ascii="Times New Roman" w:hAnsi="Times New Roman" w:cs="Times New Roman"/>
          <w:sz w:val="24"/>
          <w:szCs w:val="24"/>
        </w:rPr>
        <w:t>.</w:t>
      </w:r>
    </w:p>
    <w:p w:rsidR="00C10826" w:rsidRDefault="00FB23BF" w:rsidP="00FB23BF">
      <w:pPr>
        <w:spacing w:line="480" w:lineRule="auto"/>
      </w:pPr>
      <w:r>
        <w:tab/>
      </w:r>
      <w:r w:rsidR="006C4985">
        <w:t>In March, the Bar Foundat</w:t>
      </w:r>
      <w:r w:rsidR="00E7439D">
        <w:t>ion Board approved a total of 20</w:t>
      </w:r>
      <w:r w:rsidR="006C4985">
        <w:t xml:space="preserve"> Acces</w:t>
      </w:r>
      <w:r>
        <w:t xml:space="preserve">s to Justice grants.  A </w:t>
      </w:r>
      <w:r w:rsidR="00DC38C7">
        <w:t>list of</w:t>
      </w:r>
      <w:r>
        <w:t xml:space="preserve"> </w:t>
      </w:r>
      <w:r w:rsidR="006C4985">
        <w:t xml:space="preserve">the awards is attached.  Many of the programs funded are now funded for their </w:t>
      </w:r>
      <w:r w:rsidR="00E7439D">
        <w:t>seventh</w:t>
      </w:r>
      <w:r w:rsidR="00DF3EFA">
        <w:t xml:space="preserve"> year.  These programs have, overall, gained important footholds in the community.  Neighborhoods that once had little to no access to legal assistance are now able to seek legal help at offices located in or </w:t>
      </w:r>
      <w:r w:rsidR="00DC38C7">
        <w:t>n</w:t>
      </w:r>
      <w:r w:rsidR="00DF3EFA">
        <w:t>ear transportation hubs or other services.  Programs have built relationships in the community at large, and many have leveraged other funding to allow them to grow and expand their services.  Legal services organizations are refining innovative service models to maximize their reach, or to reliably reach hard-to-serve populations.  Examples include:</w:t>
      </w:r>
      <w:r w:rsidR="00C10826" w:rsidRPr="00C10826">
        <w:t xml:space="preserve"> </w:t>
      </w:r>
    </w:p>
    <w:p w:rsidR="00C10826" w:rsidRPr="00C10826" w:rsidRDefault="00C10826" w:rsidP="00C10826">
      <w:pPr>
        <w:spacing w:line="480" w:lineRule="auto"/>
        <w:ind w:left="2160" w:hanging="720"/>
      </w:pPr>
      <w:r w:rsidRPr="00C10826">
        <w:t>●</w:t>
      </w:r>
      <w:r w:rsidRPr="00C10826">
        <w:tab/>
        <w:t>The shared legal interpreter bank, which enables clients and witnesses who have limited English proficiency or who are deaf to communicate with attorneys</w:t>
      </w:r>
      <w:r w:rsidR="00DC38C7">
        <w:t>.</w:t>
      </w:r>
    </w:p>
    <w:p w:rsidR="00C10826" w:rsidRPr="00C10826" w:rsidRDefault="00C10826" w:rsidP="00C10826">
      <w:pPr>
        <w:spacing w:line="480" w:lineRule="auto"/>
        <w:ind w:left="2160" w:hanging="720"/>
      </w:pPr>
      <w:r w:rsidRPr="00C10826">
        <w:t>●</w:t>
      </w:r>
      <w:r w:rsidRPr="00C10826">
        <w:tab/>
      </w:r>
      <w:r>
        <w:t>Two court-based projects, through which lawy</w:t>
      </w:r>
      <w:r w:rsidR="00E7439D">
        <w:t>ers from two different organizations – Bread for the City and the Legal Aid Society of DC --</w:t>
      </w:r>
      <w:r>
        <w:t xml:space="preserve"> </w:t>
      </w:r>
      <w:r>
        <w:lastRenderedPageBreak/>
        <w:t>provide an “attorney of the day”, ensuring representation in landlord tenant and child support matters at critical junctures in cases.</w:t>
      </w:r>
    </w:p>
    <w:p w:rsidR="00C10826" w:rsidRPr="00C10826" w:rsidRDefault="00C10826" w:rsidP="00C10826">
      <w:pPr>
        <w:spacing w:line="480" w:lineRule="auto"/>
        <w:ind w:left="2160" w:hanging="720"/>
      </w:pPr>
      <w:r w:rsidRPr="00C10826">
        <w:t>●</w:t>
      </w:r>
      <w:r w:rsidRPr="00C10826">
        <w:tab/>
        <w:t>Neighborhood-based projects that place attorneys in small local offices east of the Anacostia River and in our most vulnerable neighborhoods, where unemployment and need are the highest but, until these grants, few</w:t>
      </w:r>
      <w:r w:rsidR="00DC38C7">
        <w:t xml:space="preserve"> service providers were located.</w:t>
      </w:r>
      <w:r w:rsidRPr="00C10826">
        <w:t xml:space="preserve">  </w:t>
      </w:r>
    </w:p>
    <w:p w:rsidR="00C10826" w:rsidRPr="00C10826" w:rsidRDefault="00C10826" w:rsidP="00C10826">
      <w:pPr>
        <w:spacing w:line="480" w:lineRule="auto"/>
        <w:ind w:left="2160" w:hanging="720"/>
      </w:pPr>
      <w:r w:rsidRPr="00C10826">
        <w:t>●</w:t>
      </w:r>
      <w:r w:rsidRPr="00C10826">
        <w:tab/>
        <w:t xml:space="preserve">Specialized projects that target hard-to-reach populations, such as </w:t>
      </w:r>
      <w:proofErr w:type="spellStart"/>
      <w:r w:rsidR="00A31131">
        <w:t>Ayuda’s</w:t>
      </w:r>
      <w:proofErr w:type="spellEnd"/>
      <w:r w:rsidR="00A31131">
        <w:t xml:space="preserve"> </w:t>
      </w:r>
      <w:r w:rsidRPr="00C10826">
        <w:t xml:space="preserve">Project </w:t>
      </w:r>
      <w:r w:rsidR="0083549E">
        <w:t xml:space="preserve">END, which has pulled together a public-private collaboration to end </w:t>
      </w:r>
      <w:proofErr w:type="spellStart"/>
      <w:r w:rsidR="00A31131">
        <w:rPr>
          <w:i/>
        </w:rPr>
        <w:t>notario</w:t>
      </w:r>
      <w:proofErr w:type="spellEnd"/>
      <w:r w:rsidR="00A31131">
        <w:rPr>
          <w:i/>
        </w:rPr>
        <w:t xml:space="preserve"> </w:t>
      </w:r>
      <w:r w:rsidR="00A31131">
        <w:t xml:space="preserve"> fraud, a form of fraudulent service that uniquely targets – and victimizes -- the Latino community;  Legal Counsel for the Elderly’s Project </w:t>
      </w:r>
      <w:r w:rsidRPr="00C10826">
        <w:t>HELP, through which an attorney makes house calls to homebound elders to help them with urgent legal problems</w:t>
      </w:r>
      <w:r>
        <w:t>;</w:t>
      </w:r>
      <w:r w:rsidRPr="00C10826">
        <w:t xml:space="preserve"> the </w:t>
      </w:r>
      <w:r w:rsidR="00A31131">
        <w:rPr>
          <w:i/>
        </w:rPr>
        <w:t xml:space="preserve">Generations </w:t>
      </w:r>
      <w:r w:rsidR="00A31131">
        <w:t xml:space="preserve"> project of Children’s Law Center’s ‘Healthy Together’ program,  which links an attorney</w:t>
      </w:r>
      <w:r w:rsidRPr="00C10826">
        <w:t xml:space="preserve"> </w:t>
      </w:r>
      <w:r w:rsidR="00A31131">
        <w:t>with  the teen parent program at</w:t>
      </w:r>
      <w:r w:rsidRPr="00C10826">
        <w:t xml:space="preserve"> Children’s </w:t>
      </w:r>
      <w:r w:rsidR="00A31131">
        <w:t xml:space="preserve">National </w:t>
      </w:r>
      <w:r w:rsidRPr="00C10826">
        <w:t xml:space="preserve">Medical Center clinics to </w:t>
      </w:r>
      <w:r w:rsidR="00A31131">
        <w:t xml:space="preserve">provide legal services and support to this vulnerable population; </w:t>
      </w:r>
      <w:r>
        <w:t xml:space="preserve"> and the School Discipline Project</w:t>
      </w:r>
      <w:r w:rsidR="00A31131">
        <w:t xml:space="preserve"> of Advocates for Justice and Education, which</w:t>
      </w:r>
      <w:r>
        <w:t xml:space="preserve"> provides a lawyer to public school children facing suspension or expulsion</w:t>
      </w:r>
      <w:r w:rsidR="00C50D0E">
        <w:t>.</w:t>
      </w:r>
      <w:r>
        <w:t xml:space="preserve"> </w:t>
      </w:r>
      <w:r w:rsidRPr="00C10826">
        <w:t xml:space="preserve">  </w:t>
      </w:r>
    </w:p>
    <w:p w:rsidR="002B5278" w:rsidRDefault="002B5278" w:rsidP="002B5278">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of the lawyers working on these projects, or alongside their publicly funded colleagues are able to afford to work in public interest </w:t>
      </w:r>
      <w:r w:rsidR="00526CCE">
        <w:rPr>
          <w:rFonts w:ascii="Times New Roman" w:hAnsi="Times New Roman" w:cs="Times New Roman"/>
          <w:sz w:val="24"/>
          <w:szCs w:val="24"/>
        </w:rPr>
        <w:t>only because they benefit from the</w:t>
      </w:r>
      <w:r w:rsidR="00C50D0E">
        <w:rPr>
          <w:rFonts w:ascii="Times New Roman" w:hAnsi="Times New Roman" w:cs="Times New Roman"/>
          <w:sz w:val="24"/>
          <w:szCs w:val="24"/>
        </w:rPr>
        <w:t xml:space="preserve"> educational </w:t>
      </w:r>
      <w:r w:rsidR="00526CCE">
        <w:rPr>
          <w:rFonts w:ascii="Times New Roman" w:hAnsi="Times New Roman" w:cs="Times New Roman"/>
          <w:sz w:val="24"/>
          <w:szCs w:val="24"/>
        </w:rPr>
        <w:t xml:space="preserve"> loan repayment awards they receive through the District’s Poverty Lawyer LRAP (Loan Repayment Assistance Program). </w:t>
      </w:r>
    </w:p>
    <w:p w:rsidR="00A65368" w:rsidRDefault="006F0775" w:rsidP="00F21497">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From the Bar Foundation’s unique vantage point</w:t>
      </w:r>
      <w:r w:rsidR="00526CCE">
        <w:rPr>
          <w:rFonts w:ascii="Times New Roman" w:hAnsi="Times New Roman" w:cs="Times New Roman"/>
          <w:sz w:val="24"/>
          <w:szCs w:val="24"/>
        </w:rPr>
        <w:t xml:space="preserve"> within the community</w:t>
      </w:r>
      <w:r>
        <w:rPr>
          <w:rFonts w:ascii="Times New Roman" w:hAnsi="Times New Roman" w:cs="Times New Roman"/>
          <w:sz w:val="24"/>
          <w:szCs w:val="24"/>
        </w:rPr>
        <w:t>, I can report that the investment</w:t>
      </w:r>
      <w:r w:rsidR="00A65368">
        <w:rPr>
          <w:rFonts w:ascii="Times New Roman" w:hAnsi="Times New Roman" w:cs="Times New Roman"/>
          <w:sz w:val="24"/>
          <w:szCs w:val="24"/>
        </w:rPr>
        <w:t xml:space="preserve"> the Access to Justice Initiative is making in the </w:t>
      </w:r>
      <w:r w:rsidR="00DC38C7">
        <w:rPr>
          <w:rFonts w:ascii="Times New Roman" w:hAnsi="Times New Roman" w:cs="Times New Roman"/>
          <w:sz w:val="24"/>
          <w:szCs w:val="24"/>
        </w:rPr>
        <w:t>District was the catalyst for expansion of and innovation in the legal services network.  And because of profound changes in the economy, it remains, overall, the central source of support for the expanded network</w:t>
      </w:r>
      <w:r w:rsidR="00A65368">
        <w:rPr>
          <w:rFonts w:ascii="Times New Roman" w:hAnsi="Times New Roman" w:cs="Times New Roman"/>
          <w:sz w:val="24"/>
          <w:szCs w:val="24"/>
        </w:rPr>
        <w:t>.  Before the ATJ Initiative began, funds from the Interest on Lawyers Trust Accounts (known as IOLTA) were the largest stream of funding for the legal servi</w:t>
      </w:r>
      <w:r w:rsidR="00C06523">
        <w:rPr>
          <w:rFonts w:ascii="Times New Roman" w:hAnsi="Times New Roman" w:cs="Times New Roman"/>
          <w:sz w:val="24"/>
          <w:szCs w:val="24"/>
        </w:rPr>
        <w:t>ces network.  With interest rates at near zero</w:t>
      </w:r>
      <w:r w:rsidR="000D0B9D">
        <w:rPr>
          <w:rFonts w:ascii="Times New Roman" w:hAnsi="Times New Roman" w:cs="Times New Roman"/>
          <w:sz w:val="24"/>
          <w:szCs w:val="24"/>
        </w:rPr>
        <w:t xml:space="preserve"> for </w:t>
      </w:r>
      <w:r w:rsidR="00D90482">
        <w:rPr>
          <w:rFonts w:ascii="Times New Roman" w:hAnsi="Times New Roman" w:cs="Times New Roman"/>
          <w:sz w:val="24"/>
          <w:szCs w:val="24"/>
        </w:rPr>
        <w:t>over three</w:t>
      </w:r>
      <w:r w:rsidR="006C4985">
        <w:rPr>
          <w:rFonts w:ascii="Times New Roman" w:hAnsi="Times New Roman" w:cs="Times New Roman"/>
          <w:sz w:val="24"/>
          <w:szCs w:val="24"/>
        </w:rPr>
        <w:t xml:space="preserve"> years</w:t>
      </w:r>
      <w:r w:rsidR="00C06523">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C06523">
        <w:rPr>
          <w:rFonts w:ascii="Times New Roman" w:hAnsi="Times New Roman" w:cs="Times New Roman"/>
          <w:sz w:val="24"/>
          <w:szCs w:val="24"/>
        </w:rPr>
        <w:t xml:space="preserve">IOLTA revenue in DC has tumbled to roughly half a million dollars annually, down from a high of over $2 million.  </w:t>
      </w:r>
      <w:r w:rsidR="00F02927">
        <w:rPr>
          <w:rFonts w:ascii="Times New Roman" w:hAnsi="Times New Roman" w:cs="Times New Roman"/>
          <w:sz w:val="24"/>
          <w:szCs w:val="24"/>
        </w:rPr>
        <w:t xml:space="preserve">Funding from the federal government for legal services in the District has dropped by more than 30% -- due to reallocation of the reduced funds available at the federal Legal Services Corporation, and to overall budget cuts and sequestration, which are affecting other federal agencies’ grantmaking capacity.  </w:t>
      </w:r>
      <w:r w:rsidR="00C50D0E">
        <w:rPr>
          <w:rFonts w:ascii="Times New Roman" w:hAnsi="Times New Roman" w:cs="Times New Roman"/>
          <w:sz w:val="24"/>
          <w:szCs w:val="24"/>
        </w:rPr>
        <w:t>T</w:t>
      </w:r>
      <w:r w:rsidR="00C06523">
        <w:rPr>
          <w:rFonts w:ascii="Times New Roman" w:hAnsi="Times New Roman" w:cs="Times New Roman"/>
          <w:sz w:val="24"/>
          <w:szCs w:val="24"/>
        </w:rPr>
        <w:t xml:space="preserve">he private sector has stepped up to help to make up the difference, and the Bar Foundation’s private support continues to grow.  Yet </w:t>
      </w:r>
      <w:r w:rsidR="00526CCE">
        <w:rPr>
          <w:rFonts w:ascii="Times New Roman" w:hAnsi="Times New Roman" w:cs="Times New Roman"/>
          <w:sz w:val="24"/>
          <w:szCs w:val="24"/>
        </w:rPr>
        <w:t xml:space="preserve">these increases in private contributions </w:t>
      </w:r>
      <w:r w:rsidR="00C06523">
        <w:rPr>
          <w:rFonts w:ascii="Times New Roman" w:hAnsi="Times New Roman" w:cs="Times New Roman"/>
          <w:sz w:val="24"/>
          <w:szCs w:val="24"/>
        </w:rPr>
        <w:t>simply can’t keep pace with the need</w:t>
      </w:r>
      <w:r w:rsidR="00F02927">
        <w:rPr>
          <w:rFonts w:ascii="Times New Roman" w:hAnsi="Times New Roman" w:cs="Times New Roman"/>
          <w:sz w:val="24"/>
          <w:szCs w:val="24"/>
        </w:rPr>
        <w:t xml:space="preserve">, and, frankly, </w:t>
      </w:r>
      <w:r w:rsidR="005912C3">
        <w:rPr>
          <w:rFonts w:ascii="Times New Roman" w:hAnsi="Times New Roman" w:cs="Times New Roman"/>
          <w:sz w:val="24"/>
          <w:szCs w:val="24"/>
        </w:rPr>
        <w:t>in part because of the District’s dual status as a local community and the seat of our national government, nonprofits serving District residents face</w:t>
      </w:r>
      <w:r w:rsidR="00F02927">
        <w:rPr>
          <w:rFonts w:ascii="Times New Roman" w:hAnsi="Times New Roman" w:cs="Times New Roman"/>
          <w:sz w:val="24"/>
          <w:szCs w:val="24"/>
        </w:rPr>
        <w:t xml:space="preserve"> competition from </w:t>
      </w:r>
      <w:r w:rsidR="005912C3">
        <w:rPr>
          <w:rFonts w:ascii="Times New Roman" w:hAnsi="Times New Roman" w:cs="Times New Roman"/>
          <w:sz w:val="24"/>
          <w:szCs w:val="24"/>
        </w:rPr>
        <w:t xml:space="preserve">nonprofits located in </w:t>
      </w:r>
      <w:r w:rsidR="00F02927">
        <w:rPr>
          <w:rFonts w:ascii="Times New Roman" w:hAnsi="Times New Roman" w:cs="Times New Roman"/>
          <w:sz w:val="24"/>
          <w:szCs w:val="24"/>
        </w:rPr>
        <w:t>other states</w:t>
      </w:r>
      <w:r w:rsidR="005912C3">
        <w:rPr>
          <w:rFonts w:ascii="Times New Roman" w:hAnsi="Times New Roman" w:cs="Times New Roman"/>
          <w:sz w:val="24"/>
          <w:szCs w:val="24"/>
        </w:rPr>
        <w:t>, or located here, but with a national or international focus,</w:t>
      </w:r>
      <w:r w:rsidR="00F02927">
        <w:rPr>
          <w:rFonts w:ascii="Times New Roman" w:hAnsi="Times New Roman" w:cs="Times New Roman"/>
          <w:sz w:val="24"/>
          <w:szCs w:val="24"/>
        </w:rPr>
        <w:t xml:space="preserve"> when seeking private, particularly corporate and law firm, support</w:t>
      </w:r>
      <w:r w:rsidR="00C06523">
        <w:rPr>
          <w:rFonts w:ascii="Times New Roman" w:hAnsi="Times New Roman" w:cs="Times New Roman"/>
          <w:sz w:val="24"/>
          <w:szCs w:val="24"/>
        </w:rPr>
        <w:t>.</w:t>
      </w:r>
      <w:r w:rsidR="00526CCE">
        <w:rPr>
          <w:rFonts w:ascii="Times New Roman" w:hAnsi="Times New Roman" w:cs="Times New Roman"/>
          <w:sz w:val="24"/>
          <w:szCs w:val="24"/>
        </w:rPr>
        <w:t xml:space="preserve"> </w:t>
      </w:r>
      <w:r w:rsidR="00C50D0E">
        <w:rPr>
          <w:rFonts w:ascii="Times New Roman" w:hAnsi="Times New Roman" w:cs="Times New Roman"/>
          <w:sz w:val="24"/>
          <w:szCs w:val="24"/>
        </w:rPr>
        <w:t xml:space="preserve"> </w:t>
      </w:r>
    </w:p>
    <w:p w:rsidR="007172D8" w:rsidRDefault="00DC38C7" w:rsidP="00F21497">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The need for legal services expands, rather than contract</w:t>
      </w:r>
      <w:r w:rsidR="00D90482">
        <w:rPr>
          <w:rFonts w:ascii="Times New Roman" w:hAnsi="Times New Roman" w:cs="Times New Roman"/>
          <w:sz w:val="24"/>
          <w:szCs w:val="24"/>
        </w:rPr>
        <w:t>s</w:t>
      </w:r>
      <w:r>
        <w:rPr>
          <w:rFonts w:ascii="Times New Roman" w:hAnsi="Times New Roman" w:cs="Times New Roman"/>
          <w:sz w:val="24"/>
          <w:szCs w:val="24"/>
        </w:rPr>
        <w:t xml:space="preserve">, during times of economic hardship.  Just one concrete example of this is in the number of DC residents seeking emergency help for domestic violence through our city’s intake centers.  Until 2009, the number of people seeking this kind of help in DC was growing on average 6 – 7% a year.  In 2010, there was a 24% increase in </w:t>
      </w:r>
      <w:r w:rsidR="007172D8">
        <w:rPr>
          <w:rFonts w:ascii="Times New Roman" w:hAnsi="Times New Roman" w:cs="Times New Roman"/>
          <w:sz w:val="24"/>
          <w:szCs w:val="24"/>
        </w:rPr>
        <w:t xml:space="preserve">the number of people seeking help, and the number has increased by 12% per year since.  Yet the number of providers handling domestic violence cases in the city has not </w:t>
      </w:r>
      <w:r w:rsidR="007172D8">
        <w:rPr>
          <w:rFonts w:ascii="Times New Roman" w:hAnsi="Times New Roman" w:cs="Times New Roman"/>
          <w:sz w:val="24"/>
          <w:szCs w:val="24"/>
        </w:rPr>
        <w:lastRenderedPageBreak/>
        <w:t xml:space="preserve">grown.  </w:t>
      </w:r>
      <w:r w:rsidR="00D90482">
        <w:rPr>
          <w:rFonts w:ascii="Times New Roman" w:hAnsi="Times New Roman" w:cs="Times New Roman"/>
          <w:sz w:val="24"/>
          <w:szCs w:val="24"/>
        </w:rPr>
        <w:t xml:space="preserve">With Access to Justice grants beginning in 2012, we have infused over $250,000 into existing, strong legal services nonprofits to expand the reach and impact of legal services for domestic violence survivors. </w:t>
      </w:r>
    </w:p>
    <w:p w:rsidR="00DC38C7" w:rsidRDefault="007172D8" w:rsidP="00F21497">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Similarly, we have seen explosive growth in the need that poverty lawyers have for help with their educational debt.  While the funds appropriated by the District have been sufficient to meet the need f</w:t>
      </w:r>
      <w:r w:rsidR="00C80114">
        <w:rPr>
          <w:rFonts w:ascii="Times New Roman" w:hAnsi="Times New Roman" w:cs="Times New Roman"/>
          <w:sz w:val="24"/>
          <w:szCs w:val="24"/>
        </w:rPr>
        <w:t>or LRAP awards under the DC-LRA</w:t>
      </w:r>
      <w:r>
        <w:rPr>
          <w:rFonts w:ascii="Times New Roman" w:hAnsi="Times New Roman" w:cs="Times New Roman"/>
          <w:sz w:val="24"/>
          <w:szCs w:val="24"/>
        </w:rPr>
        <w:t xml:space="preserve">P program, the same is not true for the parallel program run by the Bar Foundation.  The DCBF program reaches the same pool of poverty lawyers working in DC, but also sweeps in those who live outside the District.  </w:t>
      </w:r>
      <w:r w:rsidR="00961B92">
        <w:rPr>
          <w:rFonts w:ascii="Times New Roman" w:hAnsi="Times New Roman" w:cs="Times New Roman"/>
          <w:sz w:val="24"/>
          <w:szCs w:val="24"/>
        </w:rPr>
        <w:t xml:space="preserve">Historically, roughly two-thirds of the LRAP participants have lived in the District and participated in the DC  LRAP program.  As living costs increase sharply in the District and public interest salaries remain fairly flat, more poverty lawyers applying for LRAP awards are living in either Maryland or Virginia.  This year, </w:t>
      </w:r>
      <w:r w:rsidR="00C00B2C">
        <w:rPr>
          <w:rFonts w:ascii="Times New Roman" w:hAnsi="Times New Roman" w:cs="Times New Roman"/>
          <w:sz w:val="24"/>
          <w:szCs w:val="24"/>
        </w:rPr>
        <w:t xml:space="preserve">just over </w:t>
      </w:r>
      <w:r w:rsidR="00961B92">
        <w:rPr>
          <w:rFonts w:ascii="Times New Roman" w:hAnsi="Times New Roman" w:cs="Times New Roman"/>
          <w:sz w:val="24"/>
          <w:szCs w:val="24"/>
        </w:rPr>
        <w:t xml:space="preserve">half the LRAP participants (carrying over half the eligible debt) live outside the District.  </w:t>
      </w:r>
      <w:r>
        <w:rPr>
          <w:rFonts w:ascii="Times New Roman" w:hAnsi="Times New Roman" w:cs="Times New Roman"/>
          <w:sz w:val="24"/>
          <w:szCs w:val="24"/>
        </w:rPr>
        <w:t xml:space="preserve">  DCBF has aggressively grown contributions to the LRAP program – with the result that contributions to the program have </w:t>
      </w:r>
      <w:r w:rsidR="00961B92">
        <w:rPr>
          <w:rFonts w:ascii="Times New Roman" w:hAnsi="Times New Roman" w:cs="Times New Roman"/>
          <w:sz w:val="24"/>
          <w:szCs w:val="24"/>
        </w:rPr>
        <w:t xml:space="preserve">more than </w:t>
      </w:r>
      <w:r>
        <w:rPr>
          <w:rFonts w:ascii="Times New Roman" w:hAnsi="Times New Roman" w:cs="Times New Roman"/>
          <w:sz w:val="24"/>
          <w:szCs w:val="24"/>
        </w:rPr>
        <w:t>doubled</w:t>
      </w:r>
      <w:r w:rsidR="00961B92">
        <w:rPr>
          <w:rFonts w:ascii="Times New Roman" w:hAnsi="Times New Roman" w:cs="Times New Roman"/>
          <w:sz w:val="24"/>
          <w:szCs w:val="24"/>
        </w:rPr>
        <w:t xml:space="preserve">. </w:t>
      </w:r>
      <w:r>
        <w:rPr>
          <w:rFonts w:ascii="Times New Roman" w:hAnsi="Times New Roman" w:cs="Times New Roman"/>
          <w:sz w:val="24"/>
          <w:szCs w:val="24"/>
        </w:rPr>
        <w:t xml:space="preserve">  Demand </w:t>
      </w:r>
      <w:r w:rsidR="00C00B2C">
        <w:rPr>
          <w:rFonts w:ascii="Times New Roman" w:hAnsi="Times New Roman" w:cs="Times New Roman"/>
          <w:sz w:val="24"/>
          <w:szCs w:val="24"/>
        </w:rPr>
        <w:t xml:space="preserve">continues to grow, </w:t>
      </w:r>
      <w:r>
        <w:rPr>
          <w:rFonts w:ascii="Times New Roman" w:hAnsi="Times New Roman" w:cs="Times New Roman"/>
          <w:sz w:val="24"/>
          <w:szCs w:val="24"/>
        </w:rPr>
        <w:t xml:space="preserve">however, outstripping the resources available. </w:t>
      </w:r>
    </w:p>
    <w:p w:rsidR="00961B92" w:rsidRDefault="00961B92" w:rsidP="00F21497">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Council </w:t>
      </w:r>
      <w:r w:rsidR="00C00B2C">
        <w:rPr>
          <w:rFonts w:ascii="Times New Roman" w:hAnsi="Times New Roman" w:cs="Times New Roman"/>
          <w:sz w:val="24"/>
          <w:szCs w:val="24"/>
        </w:rPr>
        <w:t xml:space="preserve">has been strongly responsive to the economic realities facing the public interest sector.  In FY12, it amended the act to provide for partial forgiveness of loans if a participant loses their qualifying job because of job cuts.  Early in 2013, it amended </w:t>
      </w:r>
      <w:r>
        <w:rPr>
          <w:rFonts w:ascii="Times New Roman" w:hAnsi="Times New Roman" w:cs="Times New Roman"/>
          <w:sz w:val="24"/>
          <w:szCs w:val="24"/>
        </w:rPr>
        <w:t xml:space="preserve">the LRAP Act </w:t>
      </w:r>
      <w:r w:rsidR="00C00B2C">
        <w:rPr>
          <w:rFonts w:ascii="Times New Roman" w:hAnsi="Times New Roman" w:cs="Times New Roman"/>
          <w:sz w:val="24"/>
          <w:szCs w:val="24"/>
        </w:rPr>
        <w:t xml:space="preserve">to </w:t>
      </w:r>
      <w:r w:rsidR="001E177F">
        <w:rPr>
          <w:rFonts w:ascii="Times New Roman" w:hAnsi="Times New Roman" w:cs="Times New Roman"/>
          <w:sz w:val="24"/>
          <w:szCs w:val="24"/>
        </w:rPr>
        <w:t xml:space="preserve">increase the statutory salary cap and </w:t>
      </w:r>
      <w:r w:rsidR="00C00B2C">
        <w:rPr>
          <w:rFonts w:ascii="Times New Roman" w:hAnsi="Times New Roman" w:cs="Times New Roman"/>
          <w:sz w:val="24"/>
          <w:szCs w:val="24"/>
        </w:rPr>
        <w:t>provide for an automatic cost-of-living increase to the salary</w:t>
      </w:r>
      <w:r w:rsidR="001E177F">
        <w:rPr>
          <w:rFonts w:ascii="Times New Roman" w:hAnsi="Times New Roman" w:cs="Times New Roman"/>
          <w:sz w:val="24"/>
          <w:szCs w:val="24"/>
        </w:rPr>
        <w:t xml:space="preserve"> cap</w:t>
      </w:r>
      <w:r w:rsidR="00C00B2C">
        <w:rPr>
          <w:rFonts w:ascii="Times New Roman" w:hAnsi="Times New Roman" w:cs="Times New Roman"/>
          <w:sz w:val="24"/>
          <w:szCs w:val="24"/>
        </w:rPr>
        <w:t>,</w:t>
      </w:r>
      <w:r w:rsidR="00E7439D">
        <w:rPr>
          <w:rFonts w:ascii="Times New Roman" w:hAnsi="Times New Roman" w:cs="Times New Roman"/>
          <w:sz w:val="24"/>
          <w:szCs w:val="24"/>
        </w:rPr>
        <w:t xml:space="preserve"> remove the lifetime cap on LRAP awards,</w:t>
      </w:r>
      <w:r w:rsidR="00C00B2C">
        <w:rPr>
          <w:rFonts w:ascii="Times New Roman" w:hAnsi="Times New Roman" w:cs="Times New Roman"/>
          <w:sz w:val="24"/>
          <w:szCs w:val="24"/>
        </w:rPr>
        <w:t xml:space="preserve"> and to allow part-time DC poverty lawyers </w:t>
      </w:r>
      <w:r w:rsidR="001E177F">
        <w:rPr>
          <w:rFonts w:ascii="Times New Roman" w:hAnsi="Times New Roman" w:cs="Times New Roman"/>
          <w:sz w:val="24"/>
          <w:szCs w:val="24"/>
        </w:rPr>
        <w:t xml:space="preserve">to </w:t>
      </w:r>
      <w:r w:rsidR="00C00B2C">
        <w:rPr>
          <w:rFonts w:ascii="Times New Roman" w:hAnsi="Times New Roman" w:cs="Times New Roman"/>
          <w:sz w:val="24"/>
          <w:szCs w:val="24"/>
        </w:rPr>
        <w:t xml:space="preserve">qualify for a pro rata LRAP award.  </w:t>
      </w:r>
      <w:r w:rsidR="001E177F">
        <w:rPr>
          <w:rFonts w:ascii="Times New Roman" w:hAnsi="Times New Roman" w:cs="Times New Roman"/>
          <w:sz w:val="24"/>
          <w:szCs w:val="24"/>
        </w:rPr>
        <w:t>In response to these changes, which have just become law, DCBF is conducting a mid-year round of applications, to ensure that poverty lawyers who may have not been eligible due to their salary level or part-time status can apply.</w:t>
      </w:r>
    </w:p>
    <w:p w:rsidR="00C06523" w:rsidRDefault="00254A93" w:rsidP="00F21497">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When the Bar Foundation reviews grant application packages, it conducts a thorough review of the financial and programmatic picture at each organization. Overall, t</w:t>
      </w:r>
      <w:r w:rsidR="00526CCE">
        <w:rPr>
          <w:rFonts w:ascii="Times New Roman" w:hAnsi="Times New Roman" w:cs="Times New Roman"/>
          <w:sz w:val="24"/>
          <w:szCs w:val="24"/>
        </w:rPr>
        <w:t>he Bar Foundation is</w:t>
      </w:r>
      <w:r w:rsidR="00743290">
        <w:rPr>
          <w:rFonts w:ascii="Times New Roman" w:hAnsi="Times New Roman" w:cs="Times New Roman"/>
          <w:sz w:val="24"/>
          <w:szCs w:val="24"/>
        </w:rPr>
        <w:t xml:space="preserve"> seeing increased fragility in the legal services network, as organization</w:t>
      </w:r>
      <w:r w:rsidR="006F0775">
        <w:rPr>
          <w:rFonts w:ascii="Times New Roman" w:hAnsi="Times New Roman" w:cs="Times New Roman"/>
          <w:sz w:val="24"/>
          <w:szCs w:val="24"/>
        </w:rPr>
        <w:t>s</w:t>
      </w:r>
      <w:r w:rsidR="00743290">
        <w:rPr>
          <w:rFonts w:ascii="Times New Roman" w:hAnsi="Times New Roman" w:cs="Times New Roman"/>
          <w:sz w:val="24"/>
          <w:szCs w:val="24"/>
        </w:rPr>
        <w:t xml:space="preserve"> work harder to raise more funds from fewer sources</w:t>
      </w:r>
      <w:r w:rsidR="006F0775">
        <w:rPr>
          <w:rFonts w:ascii="Times New Roman" w:hAnsi="Times New Roman" w:cs="Times New Roman"/>
          <w:sz w:val="24"/>
          <w:szCs w:val="24"/>
        </w:rPr>
        <w:t xml:space="preserve"> in an effort to meet both rising costs and rising need in the client community</w:t>
      </w:r>
      <w:r w:rsidR="00743290">
        <w:rPr>
          <w:rFonts w:ascii="Times New Roman" w:hAnsi="Times New Roman" w:cs="Times New Roman"/>
          <w:sz w:val="24"/>
          <w:szCs w:val="24"/>
        </w:rPr>
        <w:t xml:space="preserve">.  The Access to Justice grants have helped to keep lawyers in place, and have been used effectively by grantees to leverage other funding to support and grow the work being done.  This </w:t>
      </w:r>
      <w:r w:rsidR="006F0775">
        <w:rPr>
          <w:rFonts w:ascii="Times New Roman" w:hAnsi="Times New Roman" w:cs="Times New Roman"/>
          <w:sz w:val="24"/>
          <w:szCs w:val="24"/>
        </w:rPr>
        <w:t>c</w:t>
      </w:r>
      <w:r w:rsidR="00743290">
        <w:rPr>
          <w:rFonts w:ascii="Times New Roman" w:hAnsi="Times New Roman" w:cs="Times New Roman"/>
          <w:sz w:val="24"/>
          <w:szCs w:val="24"/>
        </w:rPr>
        <w:t xml:space="preserve">ould not happen without the Access to Justice funding.  </w:t>
      </w:r>
    </w:p>
    <w:p w:rsidR="00AA28C8" w:rsidRDefault="00743290" w:rsidP="00F21497">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investment made by Access to Justice funds is </w:t>
      </w:r>
      <w:r w:rsidR="00254A93">
        <w:rPr>
          <w:rFonts w:ascii="Times New Roman" w:hAnsi="Times New Roman" w:cs="Times New Roman"/>
          <w:sz w:val="24"/>
          <w:szCs w:val="24"/>
        </w:rPr>
        <w:t xml:space="preserve">not only essential to the network’s survival, it is a sound and positive </w:t>
      </w:r>
      <w:r w:rsidR="00447C48">
        <w:rPr>
          <w:rFonts w:ascii="Times New Roman" w:hAnsi="Times New Roman" w:cs="Times New Roman"/>
          <w:sz w:val="24"/>
          <w:szCs w:val="24"/>
        </w:rPr>
        <w:t>one.  Thousands of D</w:t>
      </w:r>
      <w:r w:rsidR="00254A93">
        <w:rPr>
          <w:rFonts w:ascii="Times New Roman" w:hAnsi="Times New Roman" w:cs="Times New Roman"/>
          <w:sz w:val="24"/>
          <w:szCs w:val="24"/>
        </w:rPr>
        <w:t>istrict</w:t>
      </w:r>
      <w:r w:rsidR="00447C48">
        <w:rPr>
          <w:rFonts w:ascii="Times New Roman" w:hAnsi="Times New Roman" w:cs="Times New Roman"/>
          <w:sz w:val="24"/>
          <w:szCs w:val="24"/>
        </w:rPr>
        <w:t xml:space="preserve"> residents are served each year</w:t>
      </w:r>
      <w:r w:rsidR="00254A93">
        <w:rPr>
          <w:rFonts w:ascii="Times New Roman" w:hAnsi="Times New Roman" w:cs="Times New Roman"/>
          <w:sz w:val="24"/>
          <w:szCs w:val="24"/>
        </w:rPr>
        <w:t xml:space="preserve"> by lawyers funded with Access to Justice subgrants</w:t>
      </w:r>
      <w:r w:rsidR="00F82819">
        <w:rPr>
          <w:rFonts w:ascii="Times New Roman" w:hAnsi="Times New Roman" w:cs="Times New Roman"/>
          <w:sz w:val="24"/>
          <w:szCs w:val="24"/>
        </w:rPr>
        <w:t>.  Funds awarded in FY1</w:t>
      </w:r>
      <w:r w:rsidR="002E1CB4">
        <w:rPr>
          <w:rFonts w:ascii="Times New Roman" w:hAnsi="Times New Roman" w:cs="Times New Roman"/>
          <w:sz w:val="24"/>
          <w:szCs w:val="24"/>
        </w:rPr>
        <w:t>1 served roughly 11,4</w:t>
      </w:r>
      <w:r w:rsidR="00F82819">
        <w:rPr>
          <w:rFonts w:ascii="Times New Roman" w:hAnsi="Times New Roman" w:cs="Times New Roman"/>
          <w:sz w:val="24"/>
          <w:szCs w:val="24"/>
        </w:rPr>
        <w:t>00 D</w:t>
      </w:r>
      <w:r w:rsidR="00254A93">
        <w:rPr>
          <w:rFonts w:ascii="Times New Roman" w:hAnsi="Times New Roman" w:cs="Times New Roman"/>
          <w:sz w:val="24"/>
          <w:szCs w:val="24"/>
        </w:rPr>
        <w:t>istrict</w:t>
      </w:r>
      <w:r w:rsidR="00F82819">
        <w:rPr>
          <w:rFonts w:ascii="Times New Roman" w:hAnsi="Times New Roman" w:cs="Times New Roman"/>
          <w:sz w:val="24"/>
          <w:szCs w:val="24"/>
        </w:rPr>
        <w:t xml:space="preserve"> residents, and </w:t>
      </w:r>
      <w:r w:rsidR="00254A93">
        <w:rPr>
          <w:rFonts w:ascii="Times New Roman" w:hAnsi="Times New Roman" w:cs="Times New Roman"/>
          <w:sz w:val="24"/>
          <w:szCs w:val="24"/>
        </w:rPr>
        <w:t xml:space="preserve">have, in the first half of the </w:t>
      </w:r>
      <w:r w:rsidR="002E1CB4">
        <w:rPr>
          <w:rFonts w:ascii="Times New Roman" w:hAnsi="Times New Roman" w:cs="Times New Roman"/>
          <w:sz w:val="24"/>
          <w:szCs w:val="24"/>
        </w:rPr>
        <w:t xml:space="preserve"> FY12</w:t>
      </w:r>
      <w:r w:rsidR="00F82819">
        <w:rPr>
          <w:rFonts w:ascii="Times New Roman" w:hAnsi="Times New Roman" w:cs="Times New Roman"/>
          <w:sz w:val="24"/>
          <w:szCs w:val="24"/>
        </w:rPr>
        <w:t xml:space="preserve"> </w:t>
      </w:r>
      <w:r w:rsidR="00254A93">
        <w:rPr>
          <w:rFonts w:ascii="Times New Roman" w:hAnsi="Times New Roman" w:cs="Times New Roman"/>
          <w:sz w:val="24"/>
          <w:szCs w:val="24"/>
        </w:rPr>
        <w:t>grant year, supported legal services to</w:t>
      </w:r>
      <w:r w:rsidR="002E1CB4">
        <w:rPr>
          <w:rFonts w:ascii="Times New Roman" w:hAnsi="Times New Roman" w:cs="Times New Roman"/>
          <w:sz w:val="24"/>
          <w:szCs w:val="24"/>
        </w:rPr>
        <w:t xml:space="preserve"> roughly 7,50</w:t>
      </w:r>
      <w:r w:rsidR="00F82819">
        <w:rPr>
          <w:rFonts w:ascii="Times New Roman" w:hAnsi="Times New Roman" w:cs="Times New Roman"/>
          <w:sz w:val="24"/>
          <w:szCs w:val="24"/>
        </w:rPr>
        <w:t>0 residents</w:t>
      </w:r>
      <w:r w:rsidR="00254A93">
        <w:rPr>
          <w:rFonts w:ascii="Times New Roman" w:hAnsi="Times New Roman" w:cs="Times New Roman"/>
          <w:sz w:val="24"/>
          <w:szCs w:val="24"/>
        </w:rPr>
        <w:t>.</w:t>
      </w:r>
      <w:r w:rsidR="00526CCE">
        <w:rPr>
          <w:rFonts w:ascii="Times New Roman" w:hAnsi="Times New Roman" w:cs="Times New Roman"/>
          <w:sz w:val="24"/>
          <w:szCs w:val="24"/>
        </w:rPr>
        <w:t xml:space="preserve"> </w:t>
      </w:r>
      <w:r w:rsidR="00C50D0E">
        <w:rPr>
          <w:rFonts w:ascii="Times New Roman" w:hAnsi="Times New Roman" w:cs="Times New Roman"/>
          <w:sz w:val="24"/>
          <w:szCs w:val="24"/>
        </w:rPr>
        <w:t xml:space="preserve">To translate these numbers into impact:  </w:t>
      </w:r>
      <w:r w:rsidR="002E1CB4">
        <w:rPr>
          <w:rFonts w:ascii="Times New Roman" w:hAnsi="Times New Roman" w:cs="Times New Roman"/>
          <w:sz w:val="24"/>
          <w:szCs w:val="24"/>
        </w:rPr>
        <w:t>over 1,0</w:t>
      </w:r>
      <w:r w:rsidR="00AA28C8">
        <w:rPr>
          <w:rFonts w:ascii="Times New Roman" w:hAnsi="Times New Roman" w:cs="Times New Roman"/>
          <w:sz w:val="24"/>
          <w:szCs w:val="24"/>
        </w:rPr>
        <w:t xml:space="preserve">00 of the people helped </w:t>
      </w:r>
      <w:r w:rsidR="002E1CB4">
        <w:rPr>
          <w:rFonts w:ascii="Times New Roman" w:hAnsi="Times New Roman" w:cs="Times New Roman"/>
          <w:sz w:val="24"/>
          <w:szCs w:val="24"/>
        </w:rPr>
        <w:t>in the first half of FY12</w:t>
      </w:r>
      <w:r w:rsidR="006F0775">
        <w:rPr>
          <w:rFonts w:ascii="Times New Roman" w:hAnsi="Times New Roman" w:cs="Times New Roman"/>
          <w:sz w:val="24"/>
          <w:szCs w:val="24"/>
        </w:rPr>
        <w:t xml:space="preserve"> </w:t>
      </w:r>
      <w:r w:rsidR="00AA28C8">
        <w:rPr>
          <w:rFonts w:ascii="Times New Roman" w:hAnsi="Times New Roman" w:cs="Times New Roman"/>
          <w:sz w:val="24"/>
          <w:szCs w:val="24"/>
        </w:rPr>
        <w:t>were served through the Attorney of the Day project in Landlord-Tenant Court</w:t>
      </w:r>
      <w:r w:rsidR="00E3435C">
        <w:rPr>
          <w:rFonts w:ascii="Times New Roman" w:hAnsi="Times New Roman" w:cs="Times New Roman"/>
          <w:sz w:val="24"/>
          <w:szCs w:val="24"/>
        </w:rPr>
        <w:t>.  This project has</w:t>
      </w:r>
      <w:r w:rsidR="00C50D0E">
        <w:rPr>
          <w:rFonts w:ascii="Times New Roman" w:hAnsi="Times New Roman" w:cs="Times New Roman"/>
          <w:sz w:val="24"/>
          <w:szCs w:val="24"/>
        </w:rPr>
        <w:t xml:space="preserve">, according to a recent study, </w:t>
      </w:r>
      <w:r w:rsidR="00E3435C">
        <w:rPr>
          <w:rFonts w:ascii="Times New Roman" w:hAnsi="Times New Roman" w:cs="Times New Roman"/>
          <w:sz w:val="24"/>
          <w:szCs w:val="24"/>
        </w:rPr>
        <w:t>a success</w:t>
      </w:r>
      <w:r w:rsidR="00AA28C8">
        <w:rPr>
          <w:rFonts w:ascii="Times New Roman" w:hAnsi="Times New Roman" w:cs="Times New Roman"/>
          <w:sz w:val="24"/>
          <w:szCs w:val="24"/>
        </w:rPr>
        <w:t xml:space="preserve"> ra</w:t>
      </w:r>
      <w:r w:rsidR="00E3435C">
        <w:rPr>
          <w:rFonts w:ascii="Times New Roman" w:hAnsi="Times New Roman" w:cs="Times New Roman"/>
          <w:sz w:val="24"/>
          <w:szCs w:val="24"/>
        </w:rPr>
        <w:t xml:space="preserve">te of nearly 100%.  So for these </w:t>
      </w:r>
      <w:r w:rsidR="002E1CB4">
        <w:rPr>
          <w:rFonts w:ascii="Times New Roman" w:hAnsi="Times New Roman" w:cs="Times New Roman"/>
          <w:sz w:val="24"/>
          <w:szCs w:val="24"/>
        </w:rPr>
        <w:t>1,0</w:t>
      </w:r>
      <w:r w:rsidR="00E3435C">
        <w:rPr>
          <w:rFonts w:ascii="Times New Roman" w:hAnsi="Times New Roman" w:cs="Times New Roman"/>
          <w:sz w:val="24"/>
          <w:szCs w:val="24"/>
        </w:rPr>
        <w:t>00 D</w:t>
      </w:r>
      <w:r w:rsidR="00254A93">
        <w:rPr>
          <w:rFonts w:ascii="Times New Roman" w:hAnsi="Times New Roman" w:cs="Times New Roman"/>
          <w:sz w:val="24"/>
          <w:szCs w:val="24"/>
        </w:rPr>
        <w:t>istrict</w:t>
      </w:r>
      <w:r w:rsidR="00E3435C">
        <w:rPr>
          <w:rFonts w:ascii="Times New Roman" w:hAnsi="Times New Roman" w:cs="Times New Roman"/>
          <w:sz w:val="24"/>
          <w:szCs w:val="24"/>
        </w:rPr>
        <w:t xml:space="preserve"> residents, the Access to Justice funds mean that they were not forced to leave their homes, </w:t>
      </w:r>
      <w:r w:rsidR="00AA28C8">
        <w:rPr>
          <w:rFonts w:ascii="Times New Roman" w:hAnsi="Times New Roman" w:cs="Times New Roman"/>
          <w:sz w:val="24"/>
          <w:szCs w:val="24"/>
        </w:rPr>
        <w:t xml:space="preserve">either because conditions in their homes were made livable again, or because disputes about rent and the right to stay were resolved.   </w:t>
      </w:r>
      <w:r w:rsidR="00C50D0E">
        <w:rPr>
          <w:rFonts w:ascii="Times New Roman" w:hAnsi="Times New Roman" w:cs="Times New Roman"/>
          <w:sz w:val="24"/>
          <w:szCs w:val="24"/>
        </w:rPr>
        <w:t>They remain in their communities, their children remain in their schools, and they are not forced into homelessness.</w:t>
      </w:r>
    </w:p>
    <w:p w:rsidR="00B71926" w:rsidRDefault="00254A93" w:rsidP="00F21497">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Grants made with </w:t>
      </w:r>
      <w:r w:rsidR="00E3435C">
        <w:rPr>
          <w:rFonts w:ascii="Times New Roman" w:hAnsi="Times New Roman" w:cs="Times New Roman"/>
          <w:sz w:val="24"/>
          <w:szCs w:val="24"/>
        </w:rPr>
        <w:t xml:space="preserve">Access to Justice funds </w:t>
      </w:r>
      <w:r>
        <w:rPr>
          <w:rFonts w:ascii="Times New Roman" w:hAnsi="Times New Roman" w:cs="Times New Roman"/>
          <w:sz w:val="24"/>
          <w:szCs w:val="24"/>
        </w:rPr>
        <w:t xml:space="preserve">intentionally </w:t>
      </w:r>
      <w:r w:rsidR="00382A95">
        <w:rPr>
          <w:rFonts w:ascii="Times New Roman" w:hAnsi="Times New Roman" w:cs="Times New Roman"/>
          <w:sz w:val="24"/>
          <w:szCs w:val="24"/>
        </w:rPr>
        <w:t xml:space="preserve">have a broad impact on the community:  they are used to build safe and secure families, to keep residents from being thrown into homelessness, to give residents a chance at returning to the community after incarceration, and to ensure that residents have access to benefits that will provide necessities such as food and medical care.  </w:t>
      </w:r>
      <w:r w:rsidR="000E21C2">
        <w:rPr>
          <w:rFonts w:ascii="Times New Roman" w:hAnsi="Times New Roman" w:cs="Times New Roman"/>
          <w:sz w:val="24"/>
          <w:szCs w:val="24"/>
        </w:rPr>
        <w:t xml:space="preserve">At a time when difficult choices need to be made in funding, continued investment </w:t>
      </w:r>
      <w:r w:rsidR="000E21C2">
        <w:rPr>
          <w:rFonts w:ascii="Times New Roman" w:hAnsi="Times New Roman" w:cs="Times New Roman"/>
          <w:sz w:val="24"/>
          <w:szCs w:val="24"/>
        </w:rPr>
        <w:lastRenderedPageBreak/>
        <w:t>in Access to Justice provides a broad spectrum of services to the most vulnerable reside</w:t>
      </w:r>
      <w:r w:rsidR="00B71926">
        <w:rPr>
          <w:rFonts w:ascii="Times New Roman" w:hAnsi="Times New Roman" w:cs="Times New Roman"/>
          <w:sz w:val="24"/>
          <w:szCs w:val="24"/>
        </w:rPr>
        <w:t xml:space="preserve">nts in every Ward in the city.  </w:t>
      </w:r>
    </w:p>
    <w:p w:rsidR="00E3435C" w:rsidRDefault="00B71926" w:rsidP="00F21497">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This investment is providing a concrete, measurable, and significant return to the District.  I attach the Executive Summary of a report prepared by the Washington Institute for Public Affairs Research, and Justice Systems Innovations, on the economic impact of selected DC Access to Justice Grants.  This report examined four Access to Justice grant recipients and found that the work done under these four grants from May 2010 – April 2011 alone produced over $</w:t>
      </w:r>
      <w:r w:rsidR="00E7439D">
        <w:rPr>
          <w:rFonts w:ascii="Times New Roman" w:hAnsi="Times New Roman" w:cs="Times New Roman"/>
          <w:sz w:val="24"/>
          <w:szCs w:val="24"/>
        </w:rPr>
        <w:t>10</w:t>
      </w:r>
      <w:r>
        <w:rPr>
          <w:rFonts w:ascii="Times New Roman" w:hAnsi="Times New Roman" w:cs="Times New Roman"/>
          <w:sz w:val="24"/>
          <w:szCs w:val="24"/>
        </w:rPr>
        <w:t xml:space="preserve"> million in measurable direct benefits to District residents</w:t>
      </w:r>
      <w:r w:rsidR="00E7439D">
        <w:rPr>
          <w:rFonts w:ascii="Times New Roman" w:hAnsi="Times New Roman" w:cs="Times New Roman"/>
          <w:sz w:val="24"/>
          <w:szCs w:val="24"/>
        </w:rPr>
        <w:t>.</w:t>
      </w:r>
      <w:r>
        <w:rPr>
          <w:rFonts w:ascii="Times New Roman" w:hAnsi="Times New Roman" w:cs="Times New Roman"/>
          <w:sz w:val="24"/>
          <w:szCs w:val="24"/>
        </w:rPr>
        <w:t xml:space="preserve">  All this in return for an investment of  $770,000 in grant funds.  Plainly, investing in Access to Justice makes sense.</w:t>
      </w:r>
    </w:p>
    <w:p w:rsidR="00941CDA" w:rsidRDefault="00D71F80" w:rsidP="00941CDA">
      <w:pPr>
        <w:spacing w:line="480" w:lineRule="auto"/>
        <w:ind w:firstLine="720"/>
      </w:pPr>
      <w:r>
        <w:t>In short, the Access to Justice funds are at the core of a changed legal services landscape in the District.  The programs they support</w:t>
      </w:r>
      <w:r w:rsidR="005A1B16">
        <w:t>, which serve underserved residents in every Ward in the city,</w:t>
      </w:r>
      <w:r>
        <w:t xml:space="preserve"> remain uniquely needed and uniquely vulnerable as the </w:t>
      </w:r>
      <w:r w:rsidR="00C50D0E">
        <w:t xml:space="preserve">economy seeks to right itself.  </w:t>
      </w:r>
      <w:r w:rsidR="00DA311A">
        <w:t xml:space="preserve">The Bar Foundation greatly values the Council’s commitment to access to justice, and its leadership in this area. </w:t>
      </w:r>
      <w:r w:rsidR="00941CDA">
        <w:t>Thank you for the opport</w:t>
      </w:r>
      <w:r w:rsidR="00E3435C">
        <w:t>unity to testify today about</w:t>
      </w:r>
      <w:r w:rsidR="00941CDA">
        <w:t xml:space="preserve"> this important initiative</w:t>
      </w:r>
      <w:r w:rsidR="00DA311A">
        <w:t>, and the continued need for the programs it funds</w:t>
      </w:r>
      <w:r w:rsidR="00E3435C">
        <w:t xml:space="preserve">. </w:t>
      </w:r>
      <w:r w:rsidR="00941CDA">
        <w:t xml:space="preserve">   I look forward to answering any questions you may have.</w:t>
      </w:r>
    </w:p>
    <w:p w:rsidR="004257F4" w:rsidRPr="001A0D60" w:rsidRDefault="004257F4" w:rsidP="00F21497">
      <w:pPr>
        <w:pStyle w:val="PlainText"/>
        <w:spacing w:line="480" w:lineRule="auto"/>
        <w:ind w:firstLine="720"/>
        <w:rPr>
          <w:rFonts w:ascii="Times New Roman" w:hAnsi="Times New Roman" w:cs="Times New Roman"/>
          <w:sz w:val="24"/>
          <w:szCs w:val="24"/>
        </w:rPr>
      </w:pPr>
    </w:p>
    <w:p w:rsidR="0021016A" w:rsidRDefault="0021016A" w:rsidP="0021016A">
      <w:pPr>
        <w:spacing w:line="480" w:lineRule="auto"/>
        <w:ind w:firstLine="720"/>
      </w:pPr>
    </w:p>
    <w:p w:rsidR="00305146" w:rsidRDefault="00305146" w:rsidP="00C84388">
      <w:pPr>
        <w:spacing w:line="480" w:lineRule="auto"/>
      </w:pPr>
    </w:p>
    <w:p w:rsidR="00305146" w:rsidRPr="00ED1A51" w:rsidRDefault="00305146" w:rsidP="00C84388">
      <w:pPr>
        <w:spacing w:line="480" w:lineRule="auto"/>
        <w:rPr>
          <w:strike/>
        </w:rPr>
      </w:pPr>
    </w:p>
    <w:p w:rsidR="0083549E" w:rsidRDefault="00C84388" w:rsidP="00C84388">
      <w:r>
        <w:tab/>
      </w:r>
    </w:p>
    <w:sectPr w:rsidR="0083549E" w:rsidSect="00A37D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7851" w:rsidRDefault="000A7851" w:rsidP="008A74AF">
      <w:r>
        <w:separator/>
      </w:r>
    </w:p>
  </w:endnote>
  <w:endnote w:type="continuationSeparator" w:id="0">
    <w:p w:rsidR="000A7851" w:rsidRDefault="000A7851" w:rsidP="008A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1926" w:rsidRDefault="00B7192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22"/>
        <w:szCs w:val="22"/>
      </w:rPr>
      <w:t>Public Hearing on FY 2014</w:t>
    </w:r>
    <w:r w:rsidRPr="00BA60BE">
      <w:rPr>
        <w:rFonts w:asciiTheme="majorHAnsi" w:eastAsiaTheme="majorEastAsia" w:hAnsiTheme="majorHAnsi" w:cstheme="majorBidi"/>
        <w:sz w:val="22"/>
        <w:szCs w:val="22"/>
      </w:rPr>
      <w:t xml:space="preserve"> Budget – Testimony of Katherine L. Garrett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03574D">
      <w:fldChar w:fldCharType="begin"/>
    </w:r>
    <w:r w:rsidR="0003574D">
      <w:instrText xml:space="preserve"> PAGE   \* MERGEFORMAT </w:instrText>
    </w:r>
    <w:r w:rsidR="0003574D">
      <w:fldChar w:fldCharType="separate"/>
    </w:r>
    <w:r w:rsidR="00043F98" w:rsidRPr="00043F98">
      <w:rPr>
        <w:rFonts w:asciiTheme="majorHAnsi" w:eastAsiaTheme="majorEastAsia" w:hAnsiTheme="majorHAnsi" w:cstheme="majorBidi"/>
        <w:noProof/>
      </w:rPr>
      <w:t>2</w:t>
    </w:r>
    <w:r w:rsidR="0003574D">
      <w:rPr>
        <w:rFonts w:asciiTheme="majorHAnsi" w:eastAsiaTheme="majorEastAsia" w:hAnsiTheme="majorHAnsi" w:cstheme="majorBidi"/>
        <w:noProof/>
      </w:rPr>
      <w:fldChar w:fldCharType="end"/>
    </w:r>
  </w:p>
  <w:p w:rsidR="00B71926" w:rsidRDefault="00B71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7851" w:rsidRDefault="000A7851" w:rsidP="008A74AF">
      <w:r>
        <w:separator/>
      </w:r>
    </w:p>
  </w:footnote>
  <w:footnote w:type="continuationSeparator" w:id="0">
    <w:p w:rsidR="000A7851" w:rsidRDefault="000A7851" w:rsidP="008A7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80C1D"/>
    <w:multiLevelType w:val="hybridMultilevel"/>
    <w:tmpl w:val="DC181B4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88"/>
    <w:rsid w:val="00025774"/>
    <w:rsid w:val="0003574D"/>
    <w:rsid w:val="00043F98"/>
    <w:rsid w:val="000A7851"/>
    <w:rsid w:val="000D0B9D"/>
    <w:rsid w:val="000E21C2"/>
    <w:rsid w:val="0012076C"/>
    <w:rsid w:val="00186CAF"/>
    <w:rsid w:val="001A0D60"/>
    <w:rsid w:val="001C5EE7"/>
    <w:rsid w:val="001E177F"/>
    <w:rsid w:val="0021016A"/>
    <w:rsid w:val="00254A93"/>
    <w:rsid w:val="002B5278"/>
    <w:rsid w:val="002E1CB4"/>
    <w:rsid w:val="00305146"/>
    <w:rsid w:val="00382A95"/>
    <w:rsid w:val="004257F4"/>
    <w:rsid w:val="00447C48"/>
    <w:rsid w:val="004B700E"/>
    <w:rsid w:val="004E5036"/>
    <w:rsid w:val="00526CCE"/>
    <w:rsid w:val="005518C1"/>
    <w:rsid w:val="005912C3"/>
    <w:rsid w:val="005A1B16"/>
    <w:rsid w:val="005D1782"/>
    <w:rsid w:val="005D67F1"/>
    <w:rsid w:val="006C4985"/>
    <w:rsid w:val="006C52B4"/>
    <w:rsid w:val="006F0775"/>
    <w:rsid w:val="007172D8"/>
    <w:rsid w:val="00743290"/>
    <w:rsid w:val="0083549E"/>
    <w:rsid w:val="00885E99"/>
    <w:rsid w:val="008A74AF"/>
    <w:rsid w:val="00922EF8"/>
    <w:rsid w:val="00941CDA"/>
    <w:rsid w:val="00961B92"/>
    <w:rsid w:val="009966DB"/>
    <w:rsid w:val="009A12AD"/>
    <w:rsid w:val="009B61D2"/>
    <w:rsid w:val="00A15D05"/>
    <w:rsid w:val="00A177BD"/>
    <w:rsid w:val="00A2188A"/>
    <w:rsid w:val="00A31131"/>
    <w:rsid w:val="00A37D55"/>
    <w:rsid w:val="00A65368"/>
    <w:rsid w:val="00AA28C8"/>
    <w:rsid w:val="00AC4CE0"/>
    <w:rsid w:val="00B71926"/>
    <w:rsid w:val="00BA60BE"/>
    <w:rsid w:val="00BC2F86"/>
    <w:rsid w:val="00C00B2C"/>
    <w:rsid w:val="00C06523"/>
    <w:rsid w:val="00C10826"/>
    <w:rsid w:val="00C44D57"/>
    <w:rsid w:val="00C50D0E"/>
    <w:rsid w:val="00C80114"/>
    <w:rsid w:val="00C83B43"/>
    <w:rsid w:val="00C84388"/>
    <w:rsid w:val="00CD4347"/>
    <w:rsid w:val="00CE793D"/>
    <w:rsid w:val="00D1507E"/>
    <w:rsid w:val="00D71F80"/>
    <w:rsid w:val="00D90482"/>
    <w:rsid w:val="00DA311A"/>
    <w:rsid w:val="00DC38C7"/>
    <w:rsid w:val="00DF3EFA"/>
    <w:rsid w:val="00E3435C"/>
    <w:rsid w:val="00E62AC4"/>
    <w:rsid w:val="00E652C6"/>
    <w:rsid w:val="00E7439D"/>
    <w:rsid w:val="00F02927"/>
    <w:rsid w:val="00F21497"/>
    <w:rsid w:val="00F302E8"/>
    <w:rsid w:val="00F82819"/>
    <w:rsid w:val="00FB23BF"/>
    <w:rsid w:val="00FB6961"/>
    <w:rsid w:val="00FD7A48"/>
    <w:rsid w:val="00FF19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985514-7210-8545-9ABA-23E75A20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3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44D5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4D57"/>
    <w:rPr>
      <w:rFonts w:ascii="Calibri" w:hAnsi="Calibri"/>
      <w:szCs w:val="21"/>
    </w:rPr>
  </w:style>
  <w:style w:type="paragraph" w:styleId="Header">
    <w:name w:val="header"/>
    <w:basedOn w:val="Normal"/>
    <w:link w:val="HeaderChar"/>
    <w:uiPriority w:val="99"/>
    <w:unhideWhenUsed/>
    <w:rsid w:val="008A74AF"/>
    <w:pPr>
      <w:tabs>
        <w:tab w:val="center" w:pos="4680"/>
        <w:tab w:val="right" w:pos="9360"/>
      </w:tabs>
    </w:pPr>
  </w:style>
  <w:style w:type="character" w:customStyle="1" w:styleId="HeaderChar">
    <w:name w:val="Header Char"/>
    <w:basedOn w:val="DefaultParagraphFont"/>
    <w:link w:val="Header"/>
    <w:uiPriority w:val="99"/>
    <w:rsid w:val="008A7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4AF"/>
    <w:pPr>
      <w:tabs>
        <w:tab w:val="center" w:pos="4680"/>
        <w:tab w:val="right" w:pos="9360"/>
      </w:tabs>
    </w:pPr>
  </w:style>
  <w:style w:type="character" w:customStyle="1" w:styleId="FooterChar">
    <w:name w:val="Footer Char"/>
    <w:basedOn w:val="DefaultParagraphFont"/>
    <w:link w:val="Footer"/>
    <w:uiPriority w:val="99"/>
    <w:rsid w:val="008A74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60BE"/>
    <w:rPr>
      <w:rFonts w:ascii="Tahoma" w:hAnsi="Tahoma" w:cs="Tahoma"/>
      <w:sz w:val="16"/>
      <w:szCs w:val="16"/>
    </w:rPr>
  </w:style>
  <w:style w:type="character" w:customStyle="1" w:styleId="BalloonTextChar">
    <w:name w:val="Balloon Text Char"/>
    <w:basedOn w:val="DefaultParagraphFont"/>
    <w:link w:val="BalloonText"/>
    <w:uiPriority w:val="99"/>
    <w:semiHidden/>
    <w:rsid w:val="00BA60B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C80114"/>
    <w:rPr>
      <w:sz w:val="20"/>
      <w:szCs w:val="20"/>
    </w:rPr>
  </w:style>
  <w:style w:type="character" w:customStyle="1" w:styleId="FootnoteTextChar">
    <w:name w:val="Footnote Text Char"/>
    <w:basedOn w:val="DefaultParagraphFont"/>
    <w:link w:val="FootnoteText"/>
    <w:uiPriority w:val="99"/>
    <w:semiHidden/>
    <w:rsid w:val="00C8011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801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215835">
      <w:bodyDiv w:val="1"/>
      <w:marLeft w:val="0"/>
      <w:marRight w:val="0"/>
      <w:marTop w:val="0"/>
      <w:marBottom w:val="0"/>
      <w:divBdr>
        <w:top w:val="none" w:sz="0" w:space="0" w:color="auto"/>
        <w:left w:val="none" w:sz="0" w:space="0" w:color="auto"/>
        <w:bottom w:val="none" w:sz="0" w:space="0" w:color="auto"/>
        <w:right w:val="none" w:sz="0" w:space="0" w:color="auto"/>
      </w:divBdr>
    </w:div>
    <w:div w:id="96227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3A7E2-39C1-A842-ADF3-C60C37D5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John Mier</cp:lastModifiedBy>
  <cp:revision>2</cp:revision>
  <cp:lastPrinted>2012-04-20T15:20:00Z</cp:lastPrinted>
  <dcterms:created xsi:type="dcterms:W3CDTF">2022-08-17T17:34:00Z</dcterms:created>
  <dcterms:modified xsi:type="dcterms:W3CDTF">2022-08-17T17:34:00Z</dcterms:modified>
</cp:coreProperties>
</file>